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620BB2" w:rsidRPr="00620BB2" w:rsidTr="00620BB2">
        <w:trPr>
          <w:tblCellSpacing w:w="15" w:type="dxa"/>
          <w:jc w:val="center"/>
        </w:trPr>
        <w:tc>
          <w:tcPr>
            <w:tcW w:w="750" w:type="dxa"/>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p>
        </w:tc>
        <w:tc>
          <w:tcPr>
            <w:tcW w:w="0" w:type="auto"/>
            <w:vAlign w:val="center"/>
            <w:hideMark/>
          </w:tcPr>
          <w:p w:rsidR="00620BB2" w:rsidRPr="00620BB2" w:rsidRDefault="00620BB2" w:rsidP="00620BB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sz w:val="36"/>
                <w:szCs w:val="36"/>
              </w:rPr>
              <w:t xml:space="preserve">Course Syllabus - Spring 2012 </w:t>
            </w:r>
            <w:r w:rsidRPr="00620BB2">
              <w:rPr>
                <w:rFonts w:ascii="Times New Roman" w:eastAsia="Times New Roman" w:hAnsi="Times New Roman" w:cs="Times New Roman"/>
                <w:sz w:val="36"/>
                <w:szCs w:val="36"/>
              </w:rPr>
              <w:br/>
              <w:t xml:space="preserve">LI 862XI </w:t>
            </w:r>
            <w:r w:rsidRPr="00620BB2">
              <w:rPr>
                <w:rFonts w:ascii="Times New Roman" w:eastAsia="Times New Roman" w:hAnsi="Times New Roman" w:cs="Times New Roman"/>
                <w:sz w:val="36"/>
                <w:szCs w:val="36"/>
              </w:rPr>
              <w:br/>
              <w:t xml:space="preserve">Current Issues in Technology: Introduction to Metadata </w:t>
            </w:r>
            <w:r w:rsidRPr="00620BB2">
              <w:rPr>
                <w:rFonts w:ascii="Times New Roman" w:eastAsia="Times New Roman" w:hAnsi="Times New Roman" w:cs="Times New Roman"/>
                <w:sz w:val="36"/>
                <w:szCs w:val="36"/>
              </w:rPr>
              <w:br/>
              <w:t xml:space="preserve">Internet, Begins 1/11 </w:t>
            </w:r>
          </w:p>
        </w:tc>
        <w:tc>
          <w:tcPr>
            <w:tcW w:w="750" w:type="dxa"/>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p>
        </w:tc>
      </w:tr>
    </w:tbl>
    <w:p w:rsidR="00620BB2" w:rsidRPr="00620BB2" w:rsidRDefault="00620BB2" w:rsidP="00620BB2">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413"/>
        <w:gridCol w:w="4202"/>
      </w:tblGrid>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Faculty:</w:t>
            </w:r>
          </w:p>
        </w:tc>
        <w:tc>
          <w:tcPr>
            <w:tcW w:w="3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Melissa Messina</w:t>
            </w:r>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Email:</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hyperlink r:id="rId6" w:history="1">
              <w:r w:rsidRPr="00620BB2">
                <w:rPr>
                  <w:rFonts w:ascii="Times New Roman" w:eastAsia="Times New Roman" w:hAnsi="Times New Roman" w:cs="Times New Roman"/>
                  <w:color w:val="0000FF"/>
                  <w:sz w:val="24"/>
                  <w:szCs w:val="24"/>
                  <w:u w:val="single"/>
                </w:rPr>
                <w:t>mmessina@emporia.edu</w:t>
              </w:r>
            </w:hyperlink>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Primary Phone:</w:t>
            </w:r>
            <w:r w:rsidRPr="00620BB2">
              <w:rPr>
                <w:rFonts w:ascii="Times New Roman" w:eastAsia="Times New Roman" w:hAnsi="Times New Roman" w:cs="Times New Roman"/>
                <w:sz w:val="24"/>
                <w:szCs w:val="24"/>
              </w:rPr>
              <w:t xml:space="preserve"> </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(816) 785-3013 </w:t>
            </w:r>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Office Hours:</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Faculty Profile:</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hyperlink r:id="rId7" w:history="1">
              <w:r w:rsidRPr="00620BB2">
                <w:rPr>
                  <w:rFonts w:ascii="Times New Roman" w:eastAsia="Times New Roman" w:hAnsi="Times New Roman" w:cs="Times New Roman"/>
                  <w:color w:val="0000FF"/>
                  <w:sz w:val="24"/>
                  <w:szCs w:val="24"/>
                  <w:u w:val="single"/>
                </w:rPr>
                <w:t>http://slim.emporia.edu/index.php/melissa-messina/</w:t>
              </w:r>
            </w:hyperlink>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Online Course Login:</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hyperlink r:id="rId8" w:history="1">
              <w:r w:rsidRPr="00620BB2">
                <w:rPr>
                  <w:rFonts w:ascii="Times New Roman" w:eastAsia="Times New Roman" w:hAnsi="Times New Roman" w:cs="Times New Roman"/>
                  <w:color w:val="0000FF"/>
                  <w:sz w:val="24"/>
                  <w:szCs w:val="24"/>
                  <w:u w:val="single"/>
                </w:rPr>
                <w:t>https://elearning.emporia.edu</w:t>
              </w:r>
            </w:hyperlink>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Credit Hours:</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1.0</w:t>
            </w:r>
          </w:p>
        </w:tc>
      </w:tr>
      <w:tr w:rsidR="00620BB2" w:rsidRPr="00620BB2" w:rsidTr="00620BB2">
        <w:trPr>
          <w:tblCellSpacing w:w="15" w:type="dxa"/>
          <w:jc w:val="center"/>
        </w:trPr>
        <w:tc>
          <w:tcPr>
            <w:tcW w:w="2000" w:type="pct"/>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Note:</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Course Syllabus May Change</w:t>
            </w:r>
          </w:p>
        </w:tc>
      </w:tr>
    </w:tbl>
    <w:p w:rsidR="00620BB2" w:rsidRPr="00620BB2" w:rsidRDefault="00620BB2" w:rsidP="00620BB2">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 xml:space="preserve">Important Dates for </w:t>
      </w:r>
      <w:proofErr w:type="gramStart"/>
      <w:r w:rsidRPr="00620BB2">
        <w:rPr>
          <w:rFonts w:ascii="Times New Roman" w:eastAsia="Times New Roman" w:hAnsi="Times New Roman" w:cs="Times New Roman"/>
          <w:b/>
          <w:bCs/>
          <w:sz w:val="27"/>
          <w:szCs w:val="27"/>
        </w:rPr>
        <w:t>Spring</w:t>
      </w:r>
      <w:proofErr w:type="gramEnd"/>
      <w:r w:rsidRPr="00620BB2">
        <w:rPr>
          <w:rFonts w:ascii="Times New Roman" w:eastAsia="Times New Roman" w:hAnsi="Times New Roman" w:cs="Times New Roman"/>
          <w:b/>
          <w:bCs/>
          <w:sz w:val="27"/>
          <w:szCs w:val="27"/>
        </w:rPr>
        <w:t xml:space="preserve"> 2012</w:t>
      </w:r>
    </w:p>
    <w:tbl>
      <w:tblPr>
        <w:tblW w:w="5000" w:type="pct"/>
        <w:jc w:val="center"/>
        <w:tblCellSpacing w:w="15" w:type="dxa"/>
        <w:tblCellMar>
          <w:top w:w="15" w:type="dxa"/>
          <w:left w:w="15" w:type="dxa"/>
          <w:bottom w:w="15" w:type="dxa"/>
          <w:right w:w="15" w:type="dxa"/>
        </w:tblCellMar>
        <w:tblLook w:val="04A0"/>
      </w:tblPr>
      <w:tblGrid>
        <w:gridCol w:w="2270"/>
        <w:gridCol w:w="3135"/>
        <w:gridCol w:w="1760"/>
        <w:gridCol w:w="2150"/>
        <w:gridCol w:w="135"/>
      </w:tblGrid>
      <w:tr w:rsidR="00620BB2" w:rsidRPr="00620BB2" w:rsidTr="00620BB2">
        <w:trPr>
          <w:gridAfter w:val="1"/>
          <w:tblCellSpacing w:w="15" w:type="dxa"/>
          <w:jc w:val="center"/>
        </w:trPr>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1/11: First day of class</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1/16: Martin Luther King Day (ESU closed)</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1/25: Last day to drop</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3/6: Midterm grades due</w:t>
            </w:r>
          </w:p>
        </w:tc>
      </w:tr>
      <w:tr w:rsidR="00620BB2" w:rsidRPr="00620BB2" w:rsidTr="00620BB2">
        <w:trPr>
          <w:gridAfter w:val="1"/>
          <w:tblCellSpacing w:w="15" w:type="dxa"/>
          <w:jc w:val="center"/>
        </w:trPr>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3/19-3/25: Spring Break</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3/28: Last day to withdraw</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5/4: Last day of classes</w:t>
            </w:r>
          </w:p>
        </w:tc>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5/12: Commencement</w:t>
            </w:r>
          </w:p>
        </w:tc>
      </w:tr>
      <w:tr w:rsidR="00620BB2" w:rsidRPr="00620BB2" w:rsidTr="00620BB2">
        <w:trPr>
          <w:tblCellSpacing w:w="15" w:type="dxa"/>
          <w:jc w:val="center"/>
        </w:trPr>
        <w:tc>
          <w:tcPr>
            <w:tcW w:w="0" w:type="auto"/>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5/15: Final grades due by noon</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w:t>
            </w:r>
          </w:p>
        </w:tc>
      </w:tr>
    </w:tbl>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8789"/>
      </w:tblGrid>
      <w:tr w:rsidR="00620BB2" w:rsidRPr="00620BB2" w:rsidTr="00620BB2">
        <w:trPr>
          <w:tblCellSpacing w:w="15" w:type="dxa"/>
        </w:trPr>
        <w:tc>
          <w:tcPr>
            <w:tcW w:w="4750" w:type="pct"/>
            <w:vAlign w:val="center"/>
            <w:hideMark/>
          </w:tcPr>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620BB2">
              <w:rPr>
                <w:rFonts w:ascii="Times New Roman" w:eastAsia="Times New Roman" w:hAnsi="Times New Roman" w:cs="Times New Roman"/>
                <w:b/>
                <w:bCs/>
                <w:sz w:val="24"/>
                <w:szCs w:val="24"/>
              </w:rPr>
              <w:t>Course Description</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The course focuses on selected topics of current significance within the context of information technology. Issues in hardware, software and </w:t>
            </w:r>
            <w:proofErr w:type="spellStart"/>
            <w:r w:rsidRPr="00620BB2">
              <w:rPr>
                <w:rFonts w:ascii="Times New Roman" w:eastAsia="Times New Roman" w:hAnsi="Times New Roman" w:cs="Times New Roman"/>
                <w:sz w:val="24"/>
                <w:szCs w:val="24"/>
              </w:rPr>
              <w:t>thoughtware</w:t>
            </w:r>
            <w:proofErr w:type="spellEnd"/>
            <w:r w:rsidRPr="00620BB2">
              <w:rPr>
                <w:rFonts w:ascii="Times New Roman" w:eastAsia="Times New Roman" w:hAnsi="Times New Roman" w:cs="Times New Roman"/>
                <w:sz w:val="24"/>
                <w:szCs w:val="24"/>
              </w:rPr>
              <w:t xml:space="preserve"> in the context of information studies will be analyzed. The dynamic relationship among computers, video, telecommunication, mass storage devices, and audio will be explored.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Topic Description</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Introduction to Metadata presents a general overview of the key principles, issues, and tools associated with using metadata to build authoritative, reliable, and useful digital resources. We will study metadata types, standards, roles, and attributes and will discuss current trends relating to metadata development and use within the digital library environment as well as how metadata relates to resources on the Web. We will also </w:t>
            </w:r>
            <w:r w:rsidRPr="00620BB2">
              <w:rPr>
                <w:rFonts w:ascii="Times New Roman" w:eastAsia="Times New Roman" w:hAnsi="Times New Roman" w:cs="Times New Roman"/>
                <w:sz w:val="24"/>
                <w:szCs w:val="24"/>
              </w:rPr>
              <w:lastRenderedPageBreak/>
              <w:t xml:space="preserve">examine changing roles for library and information professionals in metadata management and specialization. This course is designed for the metadata novice and has no prerequisites, although many concepts from LI804 and LI814 will be helpful. </w:t>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b/>
                <w:bCs/>
                <w:sz w:val="24"/>
                <w:szCs w:val="24"/>
              </w:rPr>
              <w:t>Course Learning Objectives</w:t>
            </w:r>
            <w:r w:rsidRPr="00620BB2">
              <w:rPr>
                <w:rFonts w:ascii="Times New Roman" w:eastAsia="Times New Roman" w:hAnsi="Times New Roman" w:cs="Times New Roman"/>
                <w:sz w:val="24"/>
                <w:szCs w:val="24"/>
              </w:rPr>
              <w:t xml:space="preserve">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An understanding of the principles, concepts, and types of metadata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Knowledge of how high-quality, standards-based metadata can improve access to digital resources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An understanding of various metadata schemes and element sets for specific information communities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Knowledge of best practices and principles for metadata creation and maintenance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Experience in applying a selected metadata standard to records or collections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Knowledge of current issues and initiatives in interoperability </w:t>
            </w:r>
          </w:p>
          <w:p w:rsidR="00620BB2" w:rsidRPr="00620BB2" w:rsidRDefault="00620BB2" w:rsidP="00620BB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An understanding of the challenges and factors involved in the mapping of data between metadata formats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Course Format</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The course will be structured around biweekly unit readings, lectures, online discussion, three exercises, and a final research paper.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Required Texts</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No text is required for this course. Course readings are available on Blackboard.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Learning Exercises/Assignments</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In general, I am looking for professional work reflecting your regard for the learning objectives of the assignment (e.g., did you follow the directions?), for me as your instructor (e.g., did you turn it in on time? put your name on it?), and for yourself as a learner (e.g. evidence of critical thought, effort, creativity).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i/>
                <w:iCs/>
                <w:sz w:val="24"/>
                <w:szCs w:val="24"/>
              </w:rPr>
              <w:t xml:space="preserve">Participation and engagement (20%)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Students are expected to: </w:t>
            </w:r>
          </w:p>
          <w:p w:rsidR="00620BB2" w:rsidRPr="00620BB2" w:rsidRDefault="00620BB2" w:rsidP="00620BB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Complete assigned reading </w:t>
            </w:r>
          </w:p>
          <w:p w:rsidR="00620BB2" w:rsidRPr="00620BB2" w:rsidRDefault="00620BB2" w:rsidP="00620BB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Participate substantively in discussions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i/>
                <w:iCs/>
                <w:sz w:val="24"/>
                <w:szCs w:val="24"/>
              </w:rPr>
              <w:t>Exercise 1: Digital Library Analysis (20%)</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i/>
                <w:iCs/>
                <w:sz w:val="24"/>
                <w:szCs w:val="24"/>
              </w:rPr>
              <w:t>Exercise 2: Metadata Records Creation (20%)</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i/>
                <w:iCs/>
                <w:sz w:val="24"/>
                <w:szCs w:val="24"/>
              </w:rPr>
              <w:t>Exercise 3: Metadata Standard Fact Sheet (20%)</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i/>
                <w:iCs/>
                <w:sz w:val="24"/>
                <w:szCs w:val="24"/>
              </w:rPr>
              <w:lastRenderedPageBreak/>
              <w:t xml:space="preserve">Final assignment: Research paper (20%)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Due dates and assignment instructions will be posted to Blackboard.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SLIM Grading Scale*</w:t>
            </w:r>
          </w:p>
          <w:tbl>
            <w:tblPr>
              <w:tblW w:w="0" w:type="auto"/>
              <w:tblCellSpacing w:w="0" w:type="dxa"/>
              <w:tblCellMar>
                <w:left w:w="0" w:type="dxa"/>
                <w:right w:w="0" w:type="dxa"/>
              </w:tblCellMar>
              <w:tblLook w:val="04A0"/>
            </w:tblPr>
            <w:tblGrid>
              <w:gridCol w:w="1036"/>
              <w:gridCol w:w="1036"/>
            </w:tblGrid>
            <w:tr w:rsidR="00620BB2" w:rsidRPr="00620BB2">
              <w:trPr>
                <w:tblCellSpacing w:w="0" w:type="dxa"/>
              </w:trPr>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96 -100 A</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77 - 79 C+</w:t>
                  </w:r>
                </w:p>
              </w:tc>
            </w:tr>
            <w:tr w:rsidR="00620BB2" w:rsidRPr="00620BB2">
              <w:trPr>
                <w:tblCellSpacing w:w="0" w:type="dxa"/>
              </w:trPr>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90 - 95 A-</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74 - 76 C</w:t>
                  </w:r>
                </w:p>
              </w:tc>
            </w:tr>
            <w:tr w:rsidR="00620BB2" w:rsidRPr="00620BB2">
              <w:trPr>
                <w:tblCellSpacing w:w="0" w:type="dxa"/>
              </w:trPr>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87 - 89 B+</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70 - 73 D</w:t>
                  </w:r>
                </w:p>
              </w:tc>
            </w:tr>
            <w:tr w:rsidR="00620BB2" w:rsidRPr="00620BB2">
              <w:trPr>
                <w:tblCellSpacing w:w="0" w:type="dxa"/>
              </w:trPr>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84 - 86 B</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0 - 69 F</w:t>
                  </w:r>
                </w:p>
              </w:tc>
            </w:tr>
            <w:tr w:rsidR="00620BB2" w:rsidRPr="00620BB2">
              <w:trPr>
                <w:tblCellSpacing w:w="0" w:type="dxa"/>
              </w:trPr>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80 - 83 B-</w:t>
                  </w:r>
                </w:p>
              </w:tc>
              <w:tc>
                <w:tcPr>
                  <w:tcW w:w="0" w:type="auto"/>
                  <w:vAlign w:val="center"/>
                  <w:hideMark/>
                </w:tcPr>
                <w:p w:rsidR="00620BB2" w:rsidRPr="00620BB2" w:rsidRDefault="00620BB2" w:rsidP="00620BB2">
                  <w:pPr>
                    <w:spacing w:after="0"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w:t>
                  </w:r>
                </w:p>
              </w:tc>
            </w:tr>
          </w:tbl>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i/>
                <w:iCs/>
                <w:sz w:val="24"/>
                <w:szCs w:val="24"/>
              </w:rPr>
              <w:t xml:space="preserve">*The SLIM Grading Scale does not apply to pass/fail courses. Instead, each pass/fail course instructor will determine the number of points that must be earned to pass the course successfully.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SLIM Attendance Policy</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Students must attend all face-to-face classes.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In cases of emergency, see SLIM's </w:t>
            </w:r>
            <w:hyperlink r:id="rId9" w:history="1">
              <w:r w:rsidRPr="00620BB2">
                <w:rPr>
                  <w:rFonts w:ascii="Times New Roman" w:eastAsia="Times New Roman" w:hAnsi="Times New Roman" w:cs="Times New Roman"/>
                  <w:color w:val="0000FF"/>
                  <w:sz w:val="24"/>
                  <w:szCs w:val="24"/>
                  <w:u w:val="single"/>
                </w:rPr>
                <w:t>Policy and Procedures for Absence from a Class Weekend due to Illness or Personal Emergency</w:t>
              </w:r>
            </w:hyperlink>
            <w:r w:rsidRPr="00620BB2">
              <w:rPr>
                <w:rFonts w:ascii="Times New Roman" w:eastAsia="Times New Roman" w:hAnsi="Times New Roman" w:cs="Times New Roman"/>
                <w:sz w:val="24"/>
                <w:szCs w:val="24"/>
              </w:rPr>
              <w:t xml:space="preserve"> (PDF).</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SLIM Grade Policy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All graduate courses included in the SLIM MLS and doctoral programs' required curricula or their approved substitutions must be passed with a final grade of B- or better to receive academic credit.  If a student does not receive a final grade of B- or better in any or all of SLIM’s required classes, then the student will be placed on academic probation and notified by the office of the director of program administration that he or she must retake that course or those courses.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When a student has been placed on academic probation, an administrative hold will be placed on the student’s record to block future enrollment. The administrative hold can only be released by the student’s academic advisor or by the SLIM dean or director of program administration.  Before enrollment can be done, the student is required to meet with the student’s academic advisor with the goal of developing an academic improvement plan.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If a student has a semester GPA of less than 3.0 for two semesters or is on academic probation for two semesters, then the student’s academic progress will be reviewed in light of the academic improvement plan by the student’s program director, the SLIM dean, and the SLIM director of program administration, and a decision will be made regarding whether the student should be academically dismissed from the SLIM’s graduate program.  This policy goes into effect fall 2009 semester.  This SLIM Grade Policy applies to all SLIM students, including those students who entered SLIM under the </w:t>
            </w:r>
            <w:r w:rsidRPr="00620BB2">
              <w:rPr>
                <w:rFonts w:ascii="Times New Roman" w:eastAsia="Times New Roman" w:hAnsi="Times New Roman" w:cs="Times New Roman"/>
                <w:sz w:val="24"/>
                <w:szCs w:val="24"/>
              </w:rPr>
              <w:lastRenderedPageBreak/>
              <w:t xml:space="preserve">42-credit-hour MLS program, the 36-credit-hour MLS program, or the SLIM doctoral program.  It will also apply to all those who have passed into MLS or doctoral degree candidacy.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SLIM Incomplete Grade Policy</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 xml:space="preserve">SLIM’s Incomplete Grade Policy upholds the Emporia State University Incomplete Grade Policy (for full policy, go to: </w:t>
            </w:r>
            <w:hyperlink r:id="rId10" w:history="1">
              <w:r w:rsidRPr="00620BB2">
                <w:rPr>
                  <w:rFonts w:ascii="Times New Roman" w:eastAsia="Times New Roman" w:hAnsi="Times New Roman" w:cs="Times New Roman"/>
                  <w:b/>
                  <w:bCs/>
                  <w:color w:val="0000FF"/>
                  <w:sz w:val="24"/>
                  <w:szCs w:val="24"/>
                  <w:u w:val="single"/>
                </w:rPr>
                <w:t>http://www.emporia.edu/grad/docs/policyhandbook2.pdf</w:t>
              </w:r>
            </w:hyperlink>
            <w:r w:rsidRPr="00620BB2">
              <w:rPr>
                <w:rFonts w:ascii="Times New Roman" w:eastAsia="Times New Roman" w:hAnsi="Times New Roman" w:cs="Times New Roman"/>
                <w:b/>
                <w:bCs/>
                <w:sz w:val="24"/>
                <w:szCs w:val="24"/>
              </w:rPr>
              <w:t>).</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SLIM’s Incomplete Grade Policy further stipulates that an incomplete request will not be considered approved without an Incomplete Request Form having been submitted by the instructor and approved by the SLIM dean within two weeks after the issuance of the incomplete.  If the incomplete grade is being requested for reasons of health, then documentation must be submitted to the SLIM dean’s office before the final grade change is made.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If a SLIM student’s request for a single incomplete grade is approved by the instructor and dean, then the student will be limited to enrolling in six credit hours in the immediately succeeding semester.  If a SLIM student requests more than one incomplete grade to be issued at the conclusion of a semester, then </w:t>
            </w:r>
            <w:r w:rsidRPr="00620BB2">
              <w:rPr>
                <w:rFonts w:ascii="Times New Roman" w:eastAsia="Times New Roman" w:hAnsi="Times New Roman" w:cs="Times New Roman"/>
                <w:b/>
                <w:bCs/>
                <w:sz w:val="24"/>
                <w:szCs w:val="24"/>
              </w:rPr>
              <w:t xml:space="preserve">an administrative hold will be placed on the student’s record to block future enrollment until </w:t>
            </w:r>
            <w:r w:rsidRPr="00620BB2">
              <w:rPr>
                <w:rFonts w:ascii="Times New Roman" w:eastAsia="Times New Roman" w:hAnsi="Times New Roman" w:cs="Times New Roman"/>
                <w:sz w:val="24"/>
                <w:szCs w:val="24"/>
              </w:rPr>
              <w:t xml:space="preserve">all incomplete grades are finished and the final grade changes have been submitted by the instructor(s), signed by the SLIM dean, and accepted by the ESU Registrar’s Office.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Faculty-Initiated Student Withdrawal Procedure</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Students should be aware that your instructor follows the university’s policy of faculty-initiated student withdrawal. It reads as follows: “If a student’s absences from class or disruptive behavior become detrimental to the student’s progress or that of other students in the class, the faculty member shall attempt to contact the student in writing about withdrawing from the class and shall seek the aid of the office of Vice President of Student Affairs to help insure contacting the Student. The Office of the Vice President of Student Affairs shall provide the student information about the existing appeals procedures. Upon receiving a written report from the faculty member, the Vice President of Student Affairs may initiate a student withdrawal from the class. None of the above implies or states that faculty members are required to initiate the student withdrawals for excessive absence.</w:t>
            </w:r>
            <w:r w:rsidRPr="00620BB2">
              <w:rPr>
                <w:rFonts w:ascii="Times New Roman" w:eastAsia="Times New Roman" w:hAnsi="Times New Roman" w:cs="Times New Roman"/>
                <w:i/>
                <w:iCs/>
                <w:sz w:val="24"/>
                <w:szCs w:val="24"/>
              </w:rPr>
              <w:t xml:space="preserve"> [Policy and Procedures Manual 43.11]</w:t>
            </w:r>
            <w:r w:rsidRPr="00620BB2">
              <w:rPr>
                <w:rFonts w:ascii="Times New Roman" w:eastAsia="Times New Roman" w:hAnsi="Times New Roman" w:cs="Times New Roman"/>
                <w:sz w:val="24"/>
                <w:szCs w:val="24"/>
              </w:rPr>
              <w:t xml:space="preserve">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 xml:space="preserve">Academic Dishonesty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At Emporia State University, academic dishonesty is a basis for disciplinary action. Academic dishonesty includes but is not limited to activities such as cheating and plagiarism (presenting as one's own the intellectual or creative accomplishments of another without giving credit to the source or sources.)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lastRenderedPageBreak/>
              <w:t xml:space="preserve">The faculty member in whose course or under whose tutelage an act of academic dishonesty occurs has the option of failing the student for the academic hours in question and may refer the case to other academic personnel for further action. Emporia State University may impose penalties for academic dishonesty up to and including expulsion from the university. </w:t>
            </w:r>
          </w:p>
          <w:p w:rsidR="00620BB2" w:rsidRPr="00620BB2" w:rsidRDefault="00620BB2" w:rsidP="00620BB2">
            <w:pPr>
              <w:spacing w:before="100" w:beforeAutospacing="1" w:after="100" w:afterAutospacing="1" w:line="240" w:lineRule="auto"/>
              <w:outlineLvl w:val="2"/>
              <w:rPr>
                <w:rFonts w:ascii="Times New Roman" w:eastAsia="Times New Roman" w:hAnsi="Times New Roman" w:cs="Times New Roman"/>
                <w:b/>
                <w:bCs/>
                <w:sz w:val="27"/>
                <w:szCs w:val="27"/>
              </w:rPr>
            </w:pPr>
            <w:r w:rsidRPr="00620BB2">
              <w:rPr>
                <w:rFonts w:ascii="Times New Roman" w:eastAsia="Times New Roman" w:hAnsi="Times New Roman" w:cs="Times New Roman"/>
                <w:b/>
                <w:bCs/>
                <w:sz w:val="27"/>
                <w:szCs w:val="27"/>
              </w:rPr>
              <w:t xml:space="preserve">Disabilities Policy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sz w:val="24"/>
                <w:szCs w:val="24"/>
              </w:rPr>
              <w:t xml:space="preserve">Emporia State University will make reasonable accommodations for persons with documented disabilities. Students need to contact the Director of Disability Services and the professor as early in the semester as possible to ensure that classroom and academic accommodations are implemented in a timely fashion. All communication between students, the Office of Disability Services, and the professor will be strictly confidential. </w:t>
            </w:r>
          </w:p>
          <w:p w:rsidR="00620BB2" w:rsidRPr="00620BB2" w:rsidRDefault="00620BB2" w:rsidP="00620BB2">
            <w:pPr>
              <w:spacing w:before="100" w:beforeAutospacing="1" w:after="100" w:afterAutospacing="1" w:line="240" w:lineRule="auto"/>
              <w:rPr>
                <w:rFonts w:ascii="Times New Roman" w:eastAsia="Times New Roman" w:hAnsi="Times New Roman" w:cs="Times New Roman"/>
                <w:sz w:val="24"/>
                <w:szCs w:val="24"/>
              </w:rPr>
            </w:pPr>
            <w:r w:rsidRPr="00620BB2">
              <w:rPr>
                <w:rFonts w:ascii="Times New Roman" w:eastAsia="Times New Roman" w:hAnsi="Times New Roman" w:cs="Times New Roman"/>
                <w:b/>
                <w:bCs/>
                <w:sz w:val="24"/>
                <w:szCs w:val="24"/>
              </w:rPr>
              <w:t>Contact information for the Office of Disability Services:</w:t>
            </w:r>
            <w:r w:rsidRPr="00620BB2">
              <w:rPr>
                <w:rFonts w:ascii="Times New Roman" w:eastAsia="Times New Roman" w:hAnsi="Times New Roman" w:cs="Times New Roman"/>
                <w:sz w:val="24"/>
                <w:szCs w:val="24"/>
              </w:rPr>
              <w:br/>
              <w:t>Office of Disability Services</w:t>
            </w:r>
            <w:r w:rsidRPr="00620BB2">
              <w:rPr>
                <w:rFonts w:ascii="Times New Roman" w:eastAsia="Times New Roman" w:hAnsi="Times New Roman" w:cs="Times New Roman"/>
                <w:sz w:val="24"/>
                <w:szCs w:val="24"/>
              </w:rPr>
              <w:br/>
              <w:t xml:space="preserve">211 S Morse Hall </w:t>
            </w:r>
            <w:r w:rsidRPr="00620BB2">
              <w:rPr>
                <w:rFonts w:ascii="Times New Roman" w:eastAsia="Times New Roman" w:hAnsi="Times New Roman" w:cs="Times New Roman"/>
                <w:sz w:val="24"/>
                <w:szCs w:val="24"/>
              </w:rPr>
              <w:br/>
              <w:t>Emporia State University</w:t>
            </w:r>
            <w:r w:rsidRPr="00620BB2">
              <w:rPr>
                <w:rFonts w:ascii="Times New Roman" w:eastAsia="Times New Roman" w:hAnsi="Times New Roman" w:cs="Times New Roman"/>
                <w:sz w:val="24"/>
                <w:szCs w:val="24"/>
              </w:rPr>
              <w:br/>
              <w:t xml:space="preserve">1200 Commercial Street / Box 23 </w:t>
            </w:r>
            <w:r w:rsidRPr="00620BB2">
              <w:rPr>
                <w:rFonts w:ascii="Times New Roman" w:eastAsia="Times New Roman" w:hAnsi="Times New Roman" w:cs="Times New Roman"/>
                <w:sz w:val="24"/>
                <w:szCs w:val="24"/>
              </w:rPr>
              <w:br/>
              <w:t>Emporia, KS 66801</w:t>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i/>
                <w:iCs/>
                <w:sz w:val="24"/>
                <w:szCs w:val="24"/>
              </w:rPr>
              <w:t>Phone :</w:t>
            </w:r>
            <w:r w:rsidRPr="00620BB2">
              <w:rPr>
                <w:rFonts w:ascii="Times New Roman" w:eastAsia="Times New Roman" w:hAnsi="Times New Roman" w:cs="Times New Roman"/>
                <w:sz w:val="24"/>
                <w:szCs w:val="24"/>
              </w:rPr>
              <w:t xml:space="preserve"> 620/341-6637</w:t>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i/>
                <w:iCs/>
                <w:sz w:val="24"/>
                <w:szCs w:val="24"/>
              </w:rPr>
              <w:t>TTY:</w:t>
            </w:r>
            <w:r w:rsidRPr="00620BB2">
              <w:rPr>
                <w:rFonts w:ascii="Times New Roman" w:eastAsia="Times New Roman" w:hAnsi="Times New Roman" w:cs="Times New Roman"/>
                <w:sz w:val="24"/>
                <w:szCs w:val="24"/>
              </w:rPr>
              <w:t xml:space="preserve"> 620/341-6646</w:t>
            </w:r>
            <w:r w:rsidRPr="00620BB2">
              <w:rPr>
                <w:rFonts w:ascii="Times New Roman" w:eastAsia="Times New Roman" w:hAnsi="Times New Roman" w:cs="Times New Roman"/>
                <w:sz w:val="24"/>
                <w:szCs w:val="24"/>
              </w:rPr>
              <w:br/>
            </w:r>
            <w:r w:rsidRPr="00620BB2">
              <w:rPr>
                <w:rFonts w:ascii="Times New Roman" w:eastAsia="Times New Roman" w:hAnsi="Times New Roman" w:cs="Times New Roman"/>
                <w:i/>
                <w:iCs/>
                <w:sz w:val="24"/>
                <w:szCs w:val="24"/>
              </w:rPr>
              <w:t>Email:</w:t>
            </w:r>
            <w:r w:rsidRPr="00620BB2">
              <w:rPr>
                <w:rFonts w:ascii="Times New Roman" w:eastAsia="Times New Roman" w:hAnsi="Times New Roman" w:cs="Times New Roman"/>
                <w:sz w:val="24"/>
                <w:szCs w:val="24"/>
              </w:rPr>
              <w:t xml:space="preserve"> </w:t>
            </w:r>
            <w:hyperlink r:id="rId11" w:history="1">
              <w:r w:rsidRPr="00620BB2">
                <w:rPr>
                  <w:rFonts w:ascii="Times New Roman" w:eastAsia="Times New Roman" w:hAnsi="Times New Roman" w:cs="Times New Roman"/>
                  <w:color w:val="0000FF"/>
                  <w:sz w:val="24"/>
                  <w:szCs w:val="24"/>
                  <w:u w:val="single"/>
                </w:rPr>
                <w:t>disabser@emporia.edu</w:t>
              </w:r>
            </w:hyperlink>
            <w:r w:rsidRPr="00620BB2">
              <w:rPr>
                <w:rFonts w:ascii="Times New Roman" w:eastAsia="Times New Roman" w:hAnsi="Times New Roman" w:cs="Times New Roman"/>
                <w:sz w:val="24"/>
                <w:szCs w:val="24"/>
              </w:rPr>
              <w:t xml:space="preserve"> </w:t>
            </w:r>
          </w:p>
        </w:tc>
      </w:tr>
    </w:tbl>
    <w:p w:rsidR="00756DC7" w:rsidRDefault="00756DC7"/>
    <w:sectPr w:rsidR="00756DC7" w:rsidSect="00756D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7198"/>
    <w:multiLevelType w:val="multilevel"/>
    <w:tmpl w:val="4F2A8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B2E1CC4"/>
    <w:multiLevelType w:val="multilevel"/>
    <w:tmpl w:val="91645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BB2"/>
    <w:rsid w:val="00620BB2"/>
    <w:rsid w:val="00756D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DC7"/>
  </w:style>
  <w:style w:type="paragraph" w:styleId="Heading3">
    <w:name w:val="heading 3"/>
    <w:basedOn w:val="Normal"/>
    <w:link w:val="Heading3Char"/>
    <w:uiPriority w:val="9"/>
    <w:qFormat/>
    <w:rsid w:val="00620BB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20BB2"/>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620BB2"/>
    <w:rPr>
      <w:color w:val="0000FF"/>
      <w:u w:val="single"/>
    </w:rPr>
  </w:style>
  <w:style w:type="character" w:styleId="Emphasis">
    <w:name w:val="Emphasis"/>
    <w:basedOn w:val="DefaultParagraphFont"/>
    <w:uiPriority w:val="20"/>
    <w:qFormat/>
    <w:rsid w:val="00620BB2"/>
    <w:rPr>
      <w:i/>
      <w:iCs/>
    </w:rPr>
  </w:style>
  <w:style w:type="paragraph" w:styleId="NormalWeb">
    <w:name w:val="Normal (Web)"/>
    <w:basedOn w:val="Normal"/>
    <w:uiPriority w:val="99"/>
    <w:unhideWhenUsed/>
    <w:rsid w:val="00620BB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0BB2"/>
    <w:rPr>
      <w:b/>
      <w:bCs/>
    </w:rPr>
  </w:style>
  <w:style w:type="paragraph" w:styleId="BalloonText">
    <w:name w:val="Balloon Text"/>
    <w:basedOn w:val="Normal"/>
    <w:link w:val="BalloonTextChar"/>
    <w:uiPriority w:val="99"/>
    <w:semiHidden/>
    <w:unhideWhenUsed/>
    <w:rsid w:val="00620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0B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3401943">
      <w:bodyDiv w:val="1"/>
      <w:marLeft w:val="0"/>
      <w:marRight w:val="0"/>
      <w:marTop w:val="0"/>
      <w:marBottom w:val="0"/>
      <w:divBdr>
        <w:top w:val="none" w:sz="0" w:space="0" w:color="auto"/>
        <w:left w:val="none" w:sz="0" w:space="0" w:color="auto"/>
        <w:bottom w:val="none" w:sz="0" w:space="0" w:color="auto"/>
        <w:right w:val="none" w:sz="0" w:space="0" w:color="auto"/>
      </w:divBdr>
      <w:divsChild>
        <w:div w:id="1122179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earning.emporia.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im.emporia.edu/index.php/melissa-messin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messina@emporia.edu" TargetMode="External"/><Relationship Id="rId11" Type="http://schemas.openxmlformats.org/officeDocument/2006/relationships/hyperlink" Target="mailto:disabser@emporia.edu" TargetMode="External"/><Relationship Id="rId5" Type="http://schemas.openxmlformats.org/officeDocument/2006/relationships/image" Target="media/image1.png"/><Relationship Id="rId10" Type="http://schemas.openxmlformats.org/officeDocument/2006/relationships/hyperlink" Target="http://www.emporia.edu/grad/docs/policyhandbook2.pdf" TargetMode="External"/><Relationship Id="rId4" Type="http://schemas.openxmlformats.org/officeDocument/2006/relationships/webSettings" Target="webSettings.xml"/><Relationship Id="rId9" Type="http://schemas.openxmlformats.org/officeDocument/2006/relationships/hyperlink" Target="http://slim.emporia.edu/wp-content/uploads/2009/10/policy-and-procedures-absences-of-weekend-intensiv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1430</Words>
  <Characters>8155</Characters>
  <Application>Microsoft Office Word</Application>
  <DocSecurity>0</DocSecurity>
  <Lines>67</Lines>
  <Paragraphs>19</Paragraphs>
  <ScaleCrop>false</ScaleCrop>
  <Company>OHSU</Company>
  <LinksUpToDate>false</LinksUpToDate>
  <CharactersWithSpaces>9566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1</cp:revision>
  <dcterms:created xsi:type="dcterms:W3CDTF">2012-07-03T17:44:00Z</dcterms:created>
  <dcterms:modified xsi:type="dcterms:W3CDTF">2012-07-03T17:44:00Z</dcterms:modified>
</cp:coreProperties>
</file>